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77D" w:rsidRPr="00F13B44" w:rsidRDefault="004F677D" w:rsidP="00F13B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3B44">
        <w:rPr>
          <w:rFonts w:ascii="Times New Roman" w:hAnsi="Times New Roman" w:cs="Times New Roman"/>
          <w:sz w:val="24"/>
          <w:szCs w:val="24"/>
        </w:rPr>
        <w:t xml:space="preserve">Методика предоставления субсидий для реализации полномочий в области градостроительной деятельности </w:t>
      </w:r>
    </w:p>
    <w:p w:rsidR="00B94903" w:rsidRPr="00F13B44" w:rsidRDefault="00B94903" w:rsidP="00F13B44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53285" w:rsidRDefault="00C53285" w:rsidP="00F13B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1"/>
      <w:bookmarkEnd w:id="0"/>
    </w:p>
    <w:p w:rsidR="00C53285" w:rsidRPr="00F13B44" w:rsidRDefault="00C53285" w:rsidP="00C532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13B44">
        <w:rPr>
          <w:rFonts w:ascii="Times New Roman" w:hAnsi="Times New Roman" w:cs="Times New Roman"/>
          <w:b/>
          <w:sz w:val="24"/>
          <w:szCs w:val="24"/>
        </w:rPr>
        <w:t>Субсидии на реализацию полномочий в области градостроительной деятельности</w:t>
      </w:r>
    </w:p>
    <w:p w:rsidR="00C53285" w:rsidRPr="00F13B44" w:rsidRDefault="00C53285" w:rsidP="00C53285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1. Субсидия предоставляется в целях реализации мероприятий по градостроительной деятельности: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корректировка документов территориального планирования, градостроительного зонирования, связанная с изменениями градостроительного законодательства, выполнением обосновывающих материалов и инженерных изысканий для их корректировки;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документации по планировке и межеванию территории и выполнение инженерных изысканий для территорий, на которые ранее проекты планировки и межевания не разрабатывались, с учетом «Югорского стандарта развития территорий»;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в документацию по планировке и межеванию территории и выполнение инженерных изысканий с учетом «Югорского стандарта развития территорий»;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разработка, корректировка формы, атрибутивных и семантических данных пространственной (картографической) информации векторных моделей документов территориального планирования, градостроительного зонирования, документации по планировке территорий для загрузки в государственную информационную систему обеспечения градостроительной деятельности автономного округа;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корректировку местных нормативов градостроительного проектирования в случае изменения региональных нормативов градостроительного проектирования и законодательства Российской Федерации, автономного округа;</w:t>
      </w:r>
    </w:p>
    <w:p w:rsidR="00C53285" w:rsidRPr="00D1729C" w:rsidRDefault="00C53285" w:rsidP="00C532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подготовка, внесение изменений в документы для постановки территориальных зон, границ населенных пунктов на кадастровый учет.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2. Субсидия предоставляется бюджету муниципального образования </w:t>
      </w:r>
      <w:r w:rsidRPr="00D1729C">
        <w:rPr>
          <w:rFonts w:ascii="Times New Roman" w:hAnsi="Times New Roman" w:cs="Times New Roman"/>
          <w:sz w:val="24"/>
          <w:szCs w:val="24"/>
        </w:rPr>
        <w:br/>
        <w:t>Ханты-Мансийского автономного округа – Югры (далее – автономный округ) в соответствии со сводной бюджетной росписью бюджета автономного округа в пределах бюджетных ассигнований и лимитов бюджетных обязательств, предусмотренных для реализации мероприятия государственной программы, при выполнении следующих условий: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наличие утвержденной муниципальной программы, предусматривающей мероприятия, указанные в </w:t>
      </w:r>
      <w:hyperlink w:anchor="P11" w:tooltip="#P11" w:history="1">
        <w:r w:rsidRPr="00D1729C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D1729C">
        <w:rPr>
          <w:rFonts w:ascii="Times New Roman" w:hAnsi="Times New Roman" w:cs="Times New Roman"/>
          <w:sz w:val="24"/>
          <w:szCs w:val="24"/>
        </w:rPr>
        <w:t>;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автономного округа субсидии;</w:t>
      </w:r>
    </w:p>
    <w:p w:rsidR="00C53285" w:rsidRPr="00D1729C" w:rsidRDefault="00C53285" w:rsidP="00C5328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заключение соглашения о предоставлении субсидии между Департаментом строительства и архитектуры автономного округа (далее – Департамент) и муниципальным образованием автономного округа,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 </w:t>
      </w:r>
      <w:r w:rsidRPr="00D1729C">
        <w:rPr>
          <w:rFonts w:ascii="Times New Roman" w:hAnsi="Times New Roman" w:cs="Times New Roman"/>
          <w:sz w:val="24"/>
          <w:szCs w:val="24"/>
        </w:rPr>
        <w:br/>
        <w:t>(далее - соглашение).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Форму соглашения утверждает Департамент финансов автономного округа.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3. Критерием отбора муниципальных образований автономного округа для предоставления субсидии является соответствие их требованиям, установленным </w:t>
      </w:r>
      <w:hyperlink w:anchor="P19" w:tooltip="#P19" w:history="1">
        <w:r w:rsidRPr="00D1729C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D1729C">
        <w:rPr>
          <w:rFonts w:ascii="Times New Roman" w:hAnsi="Times New Roman" w:cs="Times New Roman"/>
          <w:sz w:val="24"/>
          <w:szCs w:val="24"/>
        </w:rPr>
        <w:t>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4. Бюджетные ассигнования предоставляет Департамент, до которого доведены </w:t>
      </w:r>
      <w:r w:rsidRPr="00D1729C">
        <w:rPr>
          <w:rFonts w:ascii="Times New Roman" w:hAnsi="Times New Roman" w:cs="Times New Roman"/>
          <w:sz w:val="24"/>
          <w:szCs w:val="24"/>
        </w:rPr>
        <w:br/>
        <w:t xml:space="preserve">в установленном порядке лимиты бюджетных обязательств на предоставление бюджетных ассигнований на соответствующий финансовый год, в пределах средств, предусмотренных в бюджете автономного округа на очередной финансовый год для целей, указанных в </w:t>
      </w:r>
      <w:hyperlink w:anchor="P11" w:tooltip="#P11" w:history="1">
        <w:r w:rsidRPr="00D1729C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D1729C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 xml:space="preserve">5. Распределение субсидии между мероприятиями, установленными </w:t>
      </w:r>
      <w:hyperlink w:anchor="P11" w:tooltip="#P11" w:history="1">
        <w:r w:rsidRPr="00D1729C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D1729C">
        <w:rPr>
          <w:rFonts w:ascii="Times New Roman" w:hAnsi="Times New Roman" w:cs="Times New Roman"/>
          <w:sz w:val="24"/>
          <w:szCs w:val="24"/>
        </w:rPr>
        <w:t xml:space="preserve"> Порядка и предусмотренными в соответствующих муниципальных программах, осуществляют муниципальные образования автономного округа самостоятельно с соблюдением условий достижения целевых показателей, предусмотренных соглашением.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6. Предельный уровень софинансирования расходных обязательств муниципального образования автономного округа из бюджета автономного округа устанавливается в соответствии с таблицей.</w:t>
      </w:r>
    </w:p>
    <w:p w:rsidR="00C53285" w:rsidRPr="00D1729C" w:rsidRDefault="00C53285" w:rsidP="00C532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Таблица</w:t>
      </w:r>
    </w:p>
    <w:p w:rsidR="00C53285" w:rsidRPr="00D1729C" w:rsidRDefault="00C53285" w:rsidP="00C532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728"/>
        <w:gridCol w:w="2610"/>
      </w:tblGrid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Уровень расчетной бюджетной обеспеченности муниципального образования автономного округа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Группа муниципального образования автономного округа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Предельный уровень софинансирования, %</w:t>
            </w:r>
          </w:p>
        </w:tc>
      </w:tr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от 0 до 0,500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от 0,501 до 0,700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0,701 до 0,900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0,901 до 1,100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C53285" w:rsidRPr="00D1729C" w:rsidTr="00260F0B">
        <w:tc>
          <w:tcPr>
            <w:tcW w:w="2061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свыше 1,101</w:t>
            </w:r>
          </w:p>
        </w:tc>
        <w:tc>
          <w:tcPr>
            <w:tcW w:w="1502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pct"/>
          </w:tcPr>
          <w:p w:rsidR="00C53285" w:rsidRPr="00D1729C" w:rsidRDefault="00C53285" w:rsidP="00260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9C"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</w:tr>
    </w:tbl>
    <w:p w:rsidR="00C53285" w:rsidRPr="00D1729C" w:rsidRDefault="00C53285" w:rsidP="00C53285">
      <w:pPr>
        <w:spacing w:before="24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C53285" w:rsidRPr="00D1729C" w:rsidRDefault="00C53285" w:rsidP="00C53285">
      <w:pPr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*В отношении субсидий, предоставляемых Белоярскому муниципальному району автономного округа и Березовскому муниципальному району автономного округа, входящим в состав сухопутных территорий Арктической зоны Российской Федерации, предельный уровень софинансирования расходного обязательства муниципального образования из бюджета автономного округа устанавливается равным 99%, из бюджета муниципальных образований автономного округа устанавливается равным 1%. 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Уровень расчетной бюджетной обеспеченности муниципальных образований автономного округа определяет Департамент финансов автономного округа.</w:t>
      </w:r>
    </w:p>
    <w:p w:rsidR="00C53285" w:rsidRPr="00D1729C" w:rsidRDefault="00C53285" w:rsidP="00C5328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7. Размер субсидии определяется по следующей формуле: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Pr="00D1729C" w:rsidRDefault="00C53285" w:rsidP="00C532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noProof/>
          <w:position w:val="-12"/>
          <w:sz w:val="24"/>
          <w:szCs w:val="24"/>
        </w:rPr>
        <w:drawing>
          <wp:inline distT="0" distB="0" distL="0" distR="0" wp14:anchorId="0DC56A85" wp14:editId="69943300">
            <wp:extent cx="5939790" cy="264088"/>
            <wp:effectExtent l="0" t="0" r="0" b="3175"/>
            <wp:docPr id="1" name="Рисунок 4" descr="cid:image001.png@01D9DF21.10995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687985" name="Рисунок 1" descr="cid:image001.png@01D9DF21.109957A0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5939789" cy="26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sz w:val="24"/>
          <w:szCs w:val="24"/>
        </w:rPr>
        <w:t>где: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Pr="00D1729C" w:rsidRDefault="00C53285" w:rsidP="00C5328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1729C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 wp14:anchorId="75757A29" wp14:editId="36DC7E11">
            <wp:extent cx="304165" cy="28321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30416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29C">
        <w:rPr>
          <w:rFonts w:ascii="Times New Roman" w:hAnsi="Times New Roman" w:cs="Times New Roman"/>
          <w:sz w:val="24"/>
          <w:szCs w:val="24"/>
        </w:rPr>
        <w:t xml:space="preserve"> - расчетный объем средств, предусматриваемых для i-го муниципального образования автономного округа;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noProof/>
          <w:sz w:val="24"/>
          <w:szCs w:val="24"/>
          <w:lang w:eastAsia="ru-RU"/>
        </w:rPr>
        <w:drawing>
          <wp:inline distT="0" distB="0" distL="0" distR="0" wp14:anchorId="43DD1FBA" wp14:editId="1516FC56">
            <wp:extent cx="302260" cy="318135"/>
            <wp:effectExtent l="0" t="0" r="0" b="0"/>
            <wp:docPr id="3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02260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29C">
        <w:rPr>
          <w:rFonts w:ascii="Times New Roman" w:hAnsi="Times New Roman" w:cs="Times New Roman"/>
          <w:sz w:val="24"/>
          <w:szCs w:val="24"/>
        </w:rPr>
        <w:t xml:space="preserve"> - </w:t>
      </w: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средств, выделяемых для реализации мероприятия; </w:t>
      </w:r>
    </w:p>
    <w:p w:rsidR="00C53285" w:rsidRPr="00D1729C" w:rsidRDefault="00C53285" w:rsidP="00C532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Vi - площадь земельных участков в i-м муниципальном образовании автономного округа, на которых возможно строительство многоквартирных жилых домов, в том числе блокированных домов, и комплексное индивидуальное жилищное строительство, на которые выдан градостроительный план земельного участка по состоянию на </w:t>
      </w: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января года, предшествующего очередному финансовому году; 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общая площадь земельных участков в автономном округе, на которых возможно строительство многоквартирных жилых домов, в том числе блокированных домов, и комплексное индивидуальное жилищное строительство, на которые выдан градостроительный план земельного участка по состоянию на 1 января года, предшествующего очередному финансовому году; 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Ki - коэффициент развития территории муниципального образования на основании результата анализа чек-листа «Оценка использования территорий муниципальных образований автономного округа», утвержденного Департаментом, по состоянию на 1 января года, предшествующего очередному финансовому году; 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K - суммарный коэффициент развития территории муниципального образования на основании результата анализа чек-листа «Оценка использования территорий муниципальных образований автономного округа», утвержденного Департаментом, по состоянию на 1 января года, предшествующего очередному финансовому году; 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Pi - численность населения i-го муниципального образования автономного округа на 1 января года, предшествующего очередному финансовому году, по данным Федеральной службы государственной статистики, находящимся в открытом доступе; </w:t>
      </w: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 - численность населения автономного округа на 1 января года, предшествующего очередному финансовому году, по данным Федеральной службы государственной статистики, находящимся в открытом доступе; </w:t>
      </w:r>
    </w:p>
    <w:p w:rsidR="00C53285" w:rsidRPr="00D1729C" w:rsidRDefault="00C53285" w:rsidP="00C5328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БОi </w:t>
      </w:r>
      <w:r w:rsidRPr="00D172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уровень расчетной бюджетной обеспеченности i-го муниципального образования автономного округа на 1 января года, предшествующего очередному финансовому году; </w:t>
      </w:r>
    </w:p>
    <w:p w:rsidR="00C53285" w:rsidRPr="00D1729C" w:rsidRDefault="00C53285" w:rsidP="00C5328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729C">
        <w:rPr>
          <w:rFonts w:ascii="Times New Roman" w:hAnsi="Times New Roman" w:cs="Times New Roman"/>
          <w:color w:val="000000" w:themeColor="text1"/>
          <w:sz w:val="24"/>
          <w:szCs w:val="24"/>
        </w:rPr>
        <w:t>БО - суммарный уровень расчетной бюджетной обеспеченности муниципальных образований автономного округа.</w:t>
      </w:r>
    </w:p>
    <w:p w:rsidR="00C53285" w:rsidRPr="00D1729C" w:rsidRDefault="00C53285" w:rsidP="00C5328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3285" w:rsidRPr="00D1729C" w:rsidRDefault="00C53285" w:rsidP="00C5328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72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Финансирование расходов, превышающих объем субсидии, осуществляется за счет средств местного бюджета и внебюджетных источников. </w:t>
      </w:r>
    </w:p>
    <w:p w:rsidR="00C53285" w:rsidRPr="00D1729C" w:rsidRDefault="00C53285" w:rsidP="00C5328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3285" w:rsidRDefault="00C53285" w:rsidP="00F13B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Default="00C53285" w:rsidP="00F13B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Default="00C53285" w:rsidP="00F13B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285" w:rsidRDefault="00C53285" w:rsidP="00F13B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7FDF" w:rsidRPr="00F13B44" w:rsidRDefault="00C97FDF" w:rsidP="00F13B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C97FDF" w:rsidRPr="00F13B44" w:rsidSect="00F13B44">
      <w:headerReference w:type="default" r:id="rId9"/>
      <w:headerReference w:type="first" r:id="rId10"/>
      <w:pgSz w:w="11905" w:h="16838"/>
      <w:pgMar w:top="964" w:right="1276" w:bottom="1134" w:left="1559" w:header="0" w:footer="0" w:gutter="0"/>
      <w:pgNumType w:start="250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BCF" w:rsidRDefault="00B50BCF" w:rsidP="00B50BCF">
      <w:pPr>
        <w:spacing w:after="0" w:line="240" w:lineRule="auto"/>
      </w:pPr>
      <w:r>
        <w:separator/>
      </w:r>
    </w:p>
  </w:endnote>
  <w:endnote w:type="continuationSeparator" w:id="0">
    <w:p w:rsidR="00B50BCF" w:rsidRDefault="00B50BCF" w:rsidP="00B50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BCF" w:rsidRDefault="00B50BCF" w:rsidP="00B50BCF">
      <w:pPr>
        <w:spacing w:after="0" w:line="240" w:lineRule="auto"/>
      </w:pPr>
      <w:r>
        <w:separator/>
      </w:r>
    </w:p>
  </w:footnote>
  <w:footnote w:type="continuationSeparator" w:id="0">
    <w:p w:rsidR="00B50BCF" w:rsidRDefault="00B50BCF" w:rsidP="00B50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B50BCF" w:rsidRPr="00F13B44">
      <w:trPr>
        <w:trHeight w:val="720"/>
      </w:trPr>
      <w:tc>
        <w:tcPr>
          <w:tcW w:w="1667" w:type="pct"/>
        </w:tcPr>
        <w:p w:rsidR="00B50BCF" w:rsidRDefault="00B50BCF">
          <w:pPr>
            <w:pStyle w:val="a6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B50BCF" w:rsidRDefault="00B50BCF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B50BCF" w:rsidRPr="00F13B44" w:rsidRDefault="00B50BCF">
          <w:pPr>
            <w:pStyle w:val="a6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  <w:p w:rsidR="00B50BCF" w:rsidRPr="00F13B44" w:rsidRDefault="00B50BCF">
          <w:pPr>
            <w:pStyle w:val="a6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  <w:p w:rsidR="00B50BCF" w:rsidRPr="00F13B44" w:rsidRDefault="00B50BCF">
          <w:pPr>
            <w:pStyle w:val="a6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13B44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13B44">
            <w:rPr>
              <w:rFonts w:ascii="Times New Roman" w:hAnsi="Times New Roman" w:cs="Times New Roman"/>
              <w:sz w:val="20"/>
              <w:szCs w:val="20"/>
            </w:rPr>
            <w:instrText>PAGE   \* MERGEFORMAT</w:instrText>
          </w:r>
          <w:r w:rsidRPr="00F13B4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C53285">
            <w:rPr>
              <w:rFonts w:ascii="Times New Roman" w:hAnsi="Times New Roman" w:cs="Times New Roman"/>
              <w:noProof/>
              <w:sz w:val="20"/>
              <w:szCs w:val="20"/>
            </w:rPr>
            <w:t>2503</w:t>
          </w:r>
          <w:r w:rsidRPr="00F13B44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:rsidR="00B50BCF" w:rsidRDefault="00B50BC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B50BCF">
      <w:trPr>
        <w:trHeight w:val="720"/>
      </w:trPr>
      <w:tc>
        <w:tcPr>
          <w:tcW w:w="1667" w:type="pct"/>
        </w:tcPr>
        <w:p w:rsidR="00B50BCF" w:rsidRDefault="00B50BCF">
          <w:pPr>
            <w:pStyle w:val="a6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B50BCF" w:rsidRDefault="00B50BCF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B50BCF" w:rsidRDefault="00B50BCF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>
            <w:rPr>
              <w:color w:val="4F81BD" w:themeColor="accent1"/>
              <w:sz w:val="24"/>
              <w:szCs w:val="24"/>
            </w:rPr>
            <w:instrText>PAGE   \* MERGEFORMAT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>
            <w:rPr>
              <w:noProof/>
              <w:color w:val="4F81BD" w:themeColor="accent1"/>
              <w:sz w:val="24"/>
              <w:szCs w:val="24"/>
            </w:rPr>
            <w:t>1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B50BCF" w:rsidRDefault="00B50BCF" w:rsidP="00B50B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77D"/>
    <w:rsid w:val="00087CA5"/>
    <w:rsid w:val="000D71D2"/>
    <w:rsid w:val="002F420B"/>
    <w:rsid w:val="003D60F4"/>
    <w:rsid w:val="004024FF"/>
    <w:rsid w:val="00477ADD"/>
    <w:rsid w:val="004F677D"/>
    <w:rsid w:val="0058685B"/>
    <w:rsid w:val="008014D1"/>
    <w:rsid w:val="0095216F"/>
    <w:rsid w:val="00972515"/>
    <w:rsid w:val="00B50BCF"/>
    <w:rsid w:val="00B94903"/>
    <w:rsid w:val="00C53285"/>
    <w:rsid w:val="00C97FDF"/>
    <w:rsid w:val="00D2396A"/>
    <w:rsid w:val="00DC4773"/>
    <w:rsid w:val="00E034CD"/>
    <w:rsid w:val="00E150C9"/>
    <w:rsid w:val="00F13B44"/>
    <w:rsid w:val="00F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23575C"/>
  <w15:docId w15:val="{E9F5DE90-4875-49E3-A64C-80AFAFEC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7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F67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7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97FD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50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0BCF"/>
  </w:style>
  <w:style w:type="paragraph" w:styleId="a8">
    <w:name w:val="footer"/>
    <w:basedOn w:val="a"/>
    <w:link w:val="a9"/>
    <w:uiPriority w:val="99"/>
    <w:unhideWhenUsed/>
    <w:rsid w:val="00B50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0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Оксана Феофановна</dc:creator>
  <cp:lastModifiedBy>Пирогова Анастасия Евгеньевна</cp:lastModifiedBy>
  <cp:revision>20</cp:revision>
  <dcterms:created xsi:type="dcterms:W3CDTF">2023-08-30T12:16:00Z</dcterms:created>
  <dcterms:modified xsi:type="dcterms:W3CDTF">2025-11-17T07:27:00Z</dcterms:modified>
</cp:coreProperties>
</file>